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8"/>
        <w:gridCol w:w="2544"/>
        <w:gridCol w:w="2430"/>
        <w:gridCol w:w="2032"/>
      </w:tblGrid>
      <w:tr w:rsidR="00FE7569" w:rsidRPr="00611659" w14:paraId="04447CF3" w14:textId="77777777" w:rsidTr="26B91D8D">
        <w:tc>
          <w:tcPr>
            <w:tcW w:w="9234" w:type="dxa"/>
            <w:gridSpan w:val="4"/>
            <w:tcMar>
              <w:top w:w="113" w:type="dxa"/>
            </w:tcMar>
          </w:tcPr>
          <w:p w14:paraId="1BD6388F" w14:textId="77777777" w:rsidR="00FE7569" w:rsidRPr="00047508" w:rsidRDefault="00FE75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Safety Culture Ladder NEN</w:t>
            </w:r>
          </w:p>
        </w:tc>
      </w:tr>
      <w:tr w:rsidR="00FE7569" w:rsidRPr="00611659" w14:paraId="19C8B385" w14:textId="77777777" w:rsidTr="26B91D8D">
        <w:tc>
          <w:tcPr>
            <w:tcW w:w="2235" w:type="dxa"/>
            <w:tcMar>
              <w:top w:w="113" w:type="dxa"/>
            </w:tcMar>
          </w:tcPr>
          <w:p w14:paraId="527A3631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Decision number:</w:t>
            </w:r>
          </w:p>
        </w:tc>
        <w:tc>
          <w:tcPr>
            <w:tcW w:w="2552" w:type="dxa"/>
            <w:tcMar>
              <w:top w:w="113" w:type="dxa"/>
            </w:tcMar>
          </w:tcPr>
          <w:p w14:paraId="357DCD51" w14:textId="7FEF7FE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2025-14</w:t>
            </w:r>
          </w:p>
        </w:tc>
        <w:tc>
          <w:tcPr>
            <w:tcW w:w="2409" w:type="dxa"/>
            <w:tcMar>
              <w:top w:w="113" w:type="dxa"/>
            </w:tcMar>
          </w:tcPr>
          <w:p w14:paraId="363A7C43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8" w:type="dxa"/>
            <w:tcMar>
              <w:top w:w="113" w:type="dxa"/>
            </w:tcMar>
          </w:tcPr>
          <w:p w14:paraId="7CBDD607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569" w:rsidRPr="00611659" w14:paraId="34C8B45D" w14:textId="77777777" w:rsidTr="26B91D8D">
        <w:tc>
          <w:tcPr>
            <w:tcW w:w="2235" w:type="dxa"/>
            <w:tcMar>
              <w:top w:w="113" w:type="dxa"/>
            </w:tcMar>
          </w:tcPr>
          <w:p w14:paraId="439BBB3A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Subject:</w:t>
            </w:r>
          </w:p>
        </w:tc>
        <w:tc>
          <w:tcPr>
            <w:tcW w:w="6999" w:type="dxa"/>
            <w:gridSpan w:val="3"/>
            <w:tcMar>
              <w:top w:w="113" w:type="dxa"/>
            </w:tcMar>
          </w:tcPr>
          <w:p w14:paraId="486A659B" w14:textId="31D42D1F" w:rsidR="00FE7569" w:rsidRPr="00047508" w:rsidRDefault="00F01E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2nd REV Decision on 'Interpretation of the weighting of sub-themes SCL 2.0'</w:t>
            </w:r>
          </w:p>
        </w:tc>
      </w:tr>
      <w:tr w:rsidR="00FE7569" w:rsidRPr="00611659" w14:paraId="785BD623" w14:textId="77777777" w:rsidTr="26B91D8D">
        <w:tc>
          <w:tcPr>
            <w:tcW w:w="2235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12BC3173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Date: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58C1BE33" w14:textId="35677BAF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28.1.26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1BAA97ED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7A931A10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569" w:rsidRPr="00611659" w14:paraId="0095C0E2" w14:textId="77777777" w:rsidTr="26B91D8D">
        <w:trPr>
          <w:trHeight w:val="596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76330681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Implementation: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  <w:vAlign w:val="center"/>
          </w:tcPr>
          <w:p w14:paraId="1E8D8491" w14:textId="612B6E8E" w:rsidR="00FE7569" w:rsidRPr="00047508" w:rsidRDefault="00792F75">
            <w:pPr>
              <w:ind w:right="-1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Publication on website and in interpretation document for SCL 2.0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36237256" w14:textId="77777777" w:rsidR="00FE7569" w:rsidRPr="00047508" w:rsidRDefault="00FE7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Commencement date: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08E627E9" w14:textId="77DD1EBE" w:rsidR="00FE7569" w:rsidRPr="00047508" w:rsidRDefault="00147C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With immediate effect </w:t>
            </w:r>
          </w:p>
        </w:tc>
      </w:tr>
    </w:tbl>
    <w:p w14:paraId="7EE34978" w14:textId="77777777" w:rsidR="00611D15" w:rsidRDefault="00611D15" w:rsidP="00611D15"/>
    <w:p w14:paraId="084D0785" w14:textId="77777777" w:rsidR="000C371A" w:rsidRPr="007F4010" w:rsidRDefault="000C371A" w:rsidP="000C371A">
      <w:pPr>
        <w:spacing w:after="0"/>
        <w:rPr>
          <w:color w:val="009691"/>
        </w:rPr>
      </w:pPr>
      <w:r>
        <w:rPr>
          <w:color w:val="009691"/>
        </w:rPr>
        <w:t>Background:</w:t>
      </w:r>
    </w:p>
    <w:p w14:paraId="5C8EE075" w14:textId="6B8BE452" w:rsidR="00147C9B" w:rsidRDefault="00E72303" w:rsidP="000503D2">
      <w:pPr>
        <w:spacing w:after="0"/>
      </w:pPr>
      <w:r>
        <w:t xml:space="preserve">Discussion has arisen among SCL auditors about the method of weighting </w:t>
      </w:r>
      <w:r>
        <w:rPr>
          <w:u w:val="single"/>
        </w:rPr>
        <w:t>sub</w:t>
      </w:r>
      <w:r>
        <w:t>-themes in order to determine the assessment of a theme during an SCL audit. This relates to the decision by the SCL CoE to only report on the themes in the audit report, although the various sub-themes must also be addressed.</w:t>
      </w:r>
    </w:p>
    <w:p w14:paraId="40F827BA" w14:textId="77777777" w:rsidR="00147C9B" w:rsidRDefault="00147C9B" w:rsidP="000503D2">
      <w:pPr>
        <w:spacing w:after="0"/>
      </w:pPr>
    </w:p>
    <w:p w14:paraId="5A5029D9" w14:textId="6192D4C8" w:rsidR="004F5191" w:rsidRDefault="004F5191" w:rsidP="004F5191">
      <w:pPr>
        <w:spacing w:after="0"/>
      </w:pPr>
      <w:r>
        <w:t>Paragraphs 7.8.1 and 7.8.2 of the Certification Scheme state that when assessing Preconditions (P), 1 theme may be assessed as “orange” and the rest of the themes as “green”. For Behaviour (B), all themes must be assessed as “satisfactory” (green).</w:t>
      </w:r>
    </w:p>
    <w:p w14:paraId="091F9DED" w14:textId="698080E2" w:rsidR="002D591F" w:rsidRDefault="00A56AAB" w:rsidP="002D591F">
      <w:pPr>
        <w:spacing w:after="0"/>
      </w:pPr>
      <w:r>
        <w:t xml:space="preserve">Because each theme consists of several </w:t>
      </w:r>
      <w:r>
        <w:rPr>
          <w:u w:val="single"/>
        </w:rPr>
        <w:t>sub</w:t>
      </w:r>
      <w:r>
        <w:t xml:space="preserve">-themes (there are a total of 20 </w:t>
      </w:r>
      <w:r>
        <w:rPr>
          <w:u w:val="single"/>
        </w:rPr>
        <w:t>sub</w:t>
      </w:r>
      <w:r>
        <w:t xml:space="preserve">-themes for the 5 themes), a discussion has arisen among auditors about how to assess a theme when opinions on the </w:t>
      </w:r>
      <w:r>
        <w:rPr>
          <w:u w:val="single"/>
        </w:rPr>
        <w:t>sub</w:t>
      </w:r>
      <w:r>
        <w:t>-themes vary.</w:t>
      </w:r>
    </w:p>
    <w:p w14:paraId="08F7A466" w14:textId="24F59A68" w:rsidR="0014307E" w:rsidRDefault="00F91A9D" w:rsidP="002D591F">
      <w:pPr>
        <w:spacing w:after="0"/>
      </w:pPr>
      <w:r>
        <w:t xml:space="preserve">The currently available documents, such as the Certification Scheme and the Notes to SCL 2.0, do not provide a clear answer to this question, even though it is of great importance to auditors. </w:t>
      </w:r>
    </w:p>
    <w:p w14:paraId="51CF068B" w14:textId="77777777" w:rsidR="00147C9B" w:rsidRDefault="00147C9B" w:rsidP="000503D2">
      <w:pPr>
        <w:spacing w:after="0"/>
      </w:pPr>
    </w:p>
    <w:p w14:paraId="06A78B8A" w14:textId="303CB27B" w:rsidR="00855E99" w:rsidRDefault="00855E99" w:rsidP="000503D2">
      <w:pPr>
        <w:spacing w:after="0"/>
      </w:pPr>
      <w:r>
        <w:t xml:space="preserve">In practice, auditors apply the following rule for B: </w:t>
      </w:r>
    </w:p>
    <w:p w14:paraId="64333656" w14:textId="72A41A35" w:rsidR="00D955E3" w:rsidRDefault="002B50D3" w:rsidP="000503D2">
      <w:pPr>
        <w:spacing w:after="0"/>
      </w:pPr>
      <w:r>
        <w:t xml:space="preserve">The lowest weighting of a </w:t>
      </w:r>
      <w:r>
        <w:rPr>
          <w:u w:val="single"/>
        </w:rPr>
        <w:t>sub</w:t>
      </w:r>
      <w:r>
        <w:t xml:space="preserve">-theme within a theme determines the weighting of the entire theme. So, 1 “orange” assessment (the descriptions associated with a theme are partially met </w:t>
      </w:r>
      <w:r>
        <w:rPr>
          <w:u w:val="single"/>
        </w:rPr>
        <w:t>and</w:t>
      </w:r>
      <w:r>
        <w:t xml:space="preserve"> efforts are being made to achieve a satisfactory assessment) of a </w:t>
      </w:r>
      <w:r>
        <w:rPr>
          <w:u w:val="single"/>
        </w:rPr>
        <w:t>sub</w:t>
      </w:r>
      <w:r>
        <w:t>-theme results in the entire theme being assessed as “orange”.</w:t>
      </w:r>
    </w:p>
    <w:p w14:paraId="6B36F9C1" w14:textId="02E8D3E2" w:rsidR="008C7DCB" w:rsidRDefault="008C7DCB" w:rsidP="000503D2">
      <w:pPr>
        <w:spacing w:after="0"/>
      </w:pPr>
      <w:r>
        <w:t>Because this does not meet the requirement that all themes must be assessed as “green”, the organisation does not meet the requirement for the relevant step and no certificate/statement will be issued for that step.</w:t>
      </w:r>
    </w:p>
    <w:p w14:paraId="2AF3110C" w14:textId="77777777" w:rsidR="00FC59E6" w:rsidRDefault="00FC59E6" w:rsidP="000503D2">
      <w:pPr>
        <w:spacing w:after="0"/>
      </w:pPr>
    </w:p>
    <w:p w14:paraId="5E8548E4" w14:textId="49E86ECC" w:rsidR="00FC59E6" w:rsidRDefault="00FC59E6" w:rsidP="000503D2">
      <w:pPr>
        <w:spacing w:after="0"/>
      </w:pPr>
      <w:r>
        <w:t>This is also an issue in the assessment of P. What will the final assessment be if more than 1 sub-theme within a theme scores “orange”?</w:t>
      </w:r>
    </w:p>
    <w:p w14:paraId="284B757B" w14:textId="77777777" w:rsidR="00035827" w:rsidRDefault="00035827" w:rsidP="000503D2">
      <w:pPr>
        <w:spacing w:after="0"/>
      </w:pPr>
    </w:p>
    <w:p w14:paraId="3D43F18F" w14:textId="4AB8795E" w:rsidR="00035827" w:rsidRPr="00827ACC" w:rsidRDefault="006D63AF" w:rsidP="000503D2">
      <w:pPr>
        <w:spacing w:after="0"/>
        <w:rPr>
          <w:color w:val="009691"/>
        </w:rPr>
      </w:pPr>
      <w:r>
        <w:rPr>
          <w:color w:val="009691"/>
        </w:rPr>
        <w:t>Consideration:</w:t>
      </w:r>
    </w:p>
    <w:p w14:paraId="1CCEDBC3" w14:textId="77777777" w:rsidR="00694CF7" w:rsidRDefault="00017B43" w:rsidP="000503D2">
      <w:pPr>
        <w:spacing w:after="0"/>
      </w:pPr>
      <w:r>
        <w:t>The CoE has taken note of the more detailed background information as referred to in document N 171. The CoE is of the opinion;</w:t>
      </w:r>
    </w:p>
    <w:p w14:paraId="1821EB9E" w14:textId="589DBB95" w:rsidR="0013641A" w:rsidRDefault="0013641A" w:rsidP="00694CF7">
      <w:pPr>
        <w:pStyle w:val="Lijstalinea"/>
        <w:numPr>
          <w:ilvl w:val="0"/>
          <w:numId w:val="11"/>
        </w:numPr>
        <w:spacing w:after="0"/>
      </w:pPr>
      <w:r>
        <w:t>that the auditor’s view is decisive.</w:t>
      </w:r>
    </w:p>
    <w:p w14:paraId="7CE07CD1" w14:textId="2E0886A3" w:rsidR="008C55A4" w:rsidRDefault="00F870D3" w:rsidP="00694CF7">
      <w:pPr>
        <w:pStyle w:val="Lijstalinea"/>
        <w:numPr>
          <w:ilvl w:val="0"/>
          <w:numId w:val="11"/>
        </w:numPr>
        <w:spacing w:after="0"/>
      </w:pPr>
      <w:r>
        <w:t>the practical situation outlined above is not in accordance with the standard text, where it refers to “to a sufficient extent” (green).</w:t>
      </w:r>
    </w:p>
    <w:p w14:paraId="521B1B3F" w14:textId="7DD993BF" w:rsidR="203F0A97" w:rsidRDefault="00F12868" w:rsidP="3BD17AB1">
      <w:pPr>
        <w:pStyle w:val="Lijstalinea"/>
        <w:numPr>
          <w:ilvl w:val="0"/>
          <w:numId w:val="11"/>
        </w:numPr>
        <w:spacing w:after="0"/>
      </w:pPr>
      <w:r>
        <w:lastRenderedPageBreak/>
        <w:t xml:space="preserve">when assessing a theme on both P and B, the starting point should be that the “overall picture” observed sufficiently corresponds to the level of the step. The following nuances apply here: </w:t>
      </w:r>
    </w:p>
    <w:p w14:paraId="3A153311" w14:textId="324F3021" w:rsidR="00F66F9B" w:rsidRDefault="008C55A4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an organisation must have the opportunity to demonstrably work on a </w:t>
      </w:r>
      <w:r>
        <w:rPr>
          <w:u w:val="single"/>
        </w:rPr>
        <w:t>sub</w:t>
      </w:r>
      <w:r>
        <w:t xml:space="preserve">-theme in the area of preconditions and behaviour (“orange” score (the descriptions associated with the </w:t>
      </w:r>
      <w:r>
        <w:rPr>
          <w:u w:val="single"/>
        </w:rPr>
        <w:t>sub</w:t>
      </w:r>
      <w:r>
        <w:t xml:space="preserve">-theme are partially met </w:t>
      </w:r>
      <w:r>
        <w:rPr>
          <w:u w:val="single"/>
        </w:rPr>
        <w:t>and</w:t>
      </w:r>
      <w:r>
        <w:t xml:space="preserve"> efforts are being made to achieve a satisfactory assessment)) without being “punished” for this.</w:t>
      </w:r>
    </w:p>
    <w:p w14:paraId="176A2F55" w14:textId="339696A2" w:rsidR="00AD3BCB" w:rsidRDefault="00F9492E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>in the area of preconditions, 1 sub-theme per theme may be assessed as “orange” without the theme immediately scoring “orange”.</w:t>
      </w:r>
    </w:p>
    <w:p w14:paraId="64A6D5D8" w14:textId="0EA5D4C0" w:rsidR="009A1A65" w:rsidRDefault="00E518D8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in the area of preconditions, an “orange” score on 2 or more sub-themes within the same theme will result in an “orange” score for the theme. </w:t>
      </w:r>
    </w:p>
    <w:p w14:paraId="3E7ADFA9" w14:textId="094A8C3F" w:rsidR="000503D2" w:rsidRDefault="00E6511C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in the area of behaviour, 1 </w:t>
      </w:r>
      <w:r>
        <w:rPr>
          <w:u w:val="single"/>
        </w:rPr>
        <w:t>sub</w:t>
      </w:r>
      <w:r>
        <w:t>-theme for each theme may be assessed as “orange” without the theme itself being immediately assessed as “orange”.</w:t>
      </w:r>
    </w:p>
    <w:p w14:paraId="2F8A2CEE" w14:textId="44B25BDD" w:rsidR="00781BC2" w:rsidRDefault="00781BC2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>in the area of behaviour, an “orange” score on a 2nd sub-theme leads to an “orange” score on the relevant theme, which immediately demonstrates that the requirement has not been met.</w:t>
      </w:r>
    </w:p>
    <w:p w14:paraId="4599386A" w14:textId="03CD9C0A" w:rsidR="00F4485D" w:rsidRDefault="00A238E8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in the area of behaviour, a “red” score on a </w:t>
      </w:r>
      <w:r>
        <w:rPr>
          <w:u w:val="single"/>
        </w:rPr>
        <w:t>sub</w:t>
      </w:r>
      <w:r>
        <w:t>-theme automatically leads to a “red” rating for the theme, which immediately demonstrates that the requirement (all themes must be rated “green”) is not met.</w:t>
      </w:r>
    </w:p>
    <w:p w14:paraId="5078FDCE" w14:textId="77397C70" w:rsidR="007171C9" w:rsidRPr="00216FB0" w:rsidRDefault="004B52F4" w:rsidP="00BF6F01">
      <w:pPr>
        <w:pStyle w:val="Lijstalinea"/>
        <w:numPr>
          <w:ilvl w:val="1"/>
          <w:numId w:val="11"/>
        </w:numPr>
        <w:spacing w:after="0"/>
        <w:ind w:left="709" w:hanging="283"/>
      </w:pPr>
      <w:r>
        <w:t xml:space="preserve">for SCL Light and SCL Light for small organisations, organisations must indicate annually what they want to have in place in their organisation as effective behaviour for the following year. </w:t>
      </w:r>
    </w:p>
    <w:p w14:paraId="737789BD" w14:textId="0BE83CE0" w:rsidR="007171C9" w:rsidRPr="00216FB0" w:rsidRDefault="007171C9" w:rsidP="00BF6F01">
      <w:pPr>
        <w:pStyle w:val="Lijstalinea"/>
        <w:spacing w:after="0"/>
        <w:ind w:left="709" w:hanging="283"/>
      </w:pPr>
      <w:r>
        <w:t>If an organisation scores orange on a sub-theme for SCL Light and SCL Light for small organisations, the organisation must set a target for a behavioural change to be achieved on this sub-theme. The behavioural change must be assessed during the follow-up audit.</w:t>
      </w:r>
    </w:p>
    <w:p w14:paraId="60F5FEAD" w14:textId="77777777" w:rsidR="007B60E8" w:rsidRDefault="007B60E8" w:rsidP="000C371A">
      <w:pPr>
        <w:spacing w:after="0"/>
        <w:rPr>
          <w:color w:val="009691"/>
        </w:rPr>
      </w:pPr>
    </w:p>
    <w:p w14:paraId="7CF392E8" w14:textId="3F19EF16" w:rsidR="000C371A" w:rsidRPr="00A46721" w:rsidRDefault="000C371A" w:rsidP="000C371A">
      <w:pPr>
        <w:spacing w:after="0"/>
        <w:rPr>
          <w:color w:val="009691"/>
        </w:rPr>
      </w:pPr>
      <w:r>
        <w:rPr>
          <w:color w:val="009691"/>
        </w:rPr>
        <w:t>Decision:</w:t>
      </w:r>
    </w:p>
    <w:p w14:paraId="2757C3FF" w14:textId="528E5C14" w:rsidR="000C371A" w:rsidRDefault="000C371A" w:rsidP="000C371A">
      <w:pPr>
        <w:spacing w:after="0"/>
      </w:pPr>
      <w:r>
        <w:t>The SCL CoE has taken the following decisions:</w:t>
      </w:r>
    </w:p>
    <w:p w14:paraId="4BC8ABE5" w14:textId="737FF53D" w:rsidR="0013641A" w:rsidRDefault="0013641A" w:rsidP="3BD17AB1">
      <w:pPr>
        <w:pStyle w:val="Lijstalinea"/>
        <w:numPr>
          <w:ilvl w:val="0"/>
          <w:numId w:val="12"/>
        </w:numPr>
        <w:spacing w:after="0"/>
      </w:pPr>
      <w:r>
        <w:t>The auditor’s view is decisive.</w:t>
      </w:r>
    </w:p>
    <w:p w14:paraId="126C3D50" w14:textId="2235084F" w:rsidR="58666227" w:rsidRDefault="58666227" w:rsidP="3BD17AB1">
      <w:pPr>
        <w:pStyle w:val="Lijstalinea"/>
        <w:numPr>
          <w:ilvl w:val="0"/>
          <w:numId w:val="12"/>
        </w:numPr>
        <w:spacing w:after="0"/>
      </w:pPr>
      <w:r>
        <w:t>The starting point is that the overall picture of a theme must match the desired step level.</w:t>
      </w:r>
    </w:p>
    <w:p w14:paraId="2EA3E01F" w14:textId="58F9F61D" w:rsidR="58666227" w:rsidRDefault="58666227" w:rsidP="3BD17AB1">
      <w:pPr>
        <w:pStyle w:val="Lijstalinea"/>
        <w:numPr>
          <w:ilvl w:val="0"/>
          <w:numId w:val="12"/>
        </w:numPr>
        <w:spacing w:after="0"/>
      </w:pPr>
      <w:r>
        <w:t>The following preconditions apply:</w:t>
      </w:r>
    </w:p>
    <w:p w14:paraId="3974D520" w14:textId="524E6C36" w:rsidR="00D67EFA" w:rsidRDefault="00E91BE6" w:rsidP="3BD17AB1">
      <w:pPr>
        <w:pStyle w:val="Lijstalinea"/>
        <w:numPr>
          <w:ilvl w:val="1"/>
          <w:numId w:val="12"/>
        </w:numPr>
        <w:spacing w:after="0"/>
      </w:pPr>
      <w:r>
        <w:t xml:space="preserve">During an SCL audit, an organisation must have the opportunity to demonstrably work on preconditions and behaviour in relation to </w:t>
      </w:r>
      <w:r>
        <w:rPr>
          <w:u w:val="single"/>
        </w:rPr>
        <w:t>sub</w:t>
      </w:r>
      <w:r>
        <w:t xml:space="preserve">-themes (“orange” score (the descriptions associated with a </w:t>
      </w:r>
      <w:r>
        <w:rPr>
          <w:u w:val="single"/>
        </w:rPr>
        <w:t>sub</w:t>
      </w:r>
      <w:r>
        <w:t xml:space="preserve">-theme are partially met </w:t>
      </w:r>
      <w:r>
        <w:rPr>
          <w:u w:val="single"/>
        </w:rPr>
        <w:t>and</w:t>
      </w:r>
      <w:r>
        <w:t xml:space="preserve"> efforts are being made to achieve a satisfactory assessment)) without being “punished” for this. </w:t>
      </w:r>
    </w:p>
    <w:p w14:paraId="010D0853" w14:textId="492B41F9" w:rsidR="00666DBF" w:rsidRDefault="000B2AF7" w:rsidP="00666DBF">
      <w:pPr>
        <w:pStyle w:val="Lijstalinea"/>
        <w:numPr>
          <w:ilvl w:val="1"/>
          <w:numId w:val="12"/>
        </w:numPr>
        <w:spacing w:after="0"/>
      </w:pPr>
      <w:r>
        <w:t>In the area of preconditions, 1 sub-theme per theme may be assessed as “orange” without the theme immediately scoring “orange”.</w:t>
      </w:r>
    </w:p>
    <w:p w14:paraId="5B5C4E16" w14:textId="3E7A21B6" w:rsidR="00666DBF" w:rsidRDefault="000B2AF7" w:rsidP="00666DBF">
      <w:pPr>
        <w:pStyle w:val="Lijstalinea"/>
        <w:numPr>
          <w:ilvl w:val="1"/>
          <w:numId w:val="12"/>
        </w:numPr>
        <w:spacing w:after="0"/>
      </w:pPr>
      <w:r>
        <w:t xml:space="preserve">In the area of preconditions, an “orange” score on 2 or more sub-themes within the same theme will result in an “orange” score for the theme. </w:t>
      </w:r>
    </w:p>
    <w:p w14:paraId="5E109DAE" w14:textId="7E5C63FD" w:rsidR="008F3C7B" w:rsidRDefault="00315998" w:rsidP="00CC7955">
      <w:pPr>
        <w:pStyle w:val="Lijstalinea"/>
        <w:numPr>
          <w:ilvl w:val="1"/>
          <w:numId w:val="12"/>
        </w:numPr>
        <w:spacing w:after="0"/>
        <w:ind w:left="1077" w:hanging="357"/>
      </w:pPr>
      <w:r>
        <w:t xml:space="preserve">In the area of behaviour, 1 </w:t>
      </w:r>
      <w:r>
        <w:rPr>
          <w:u w:val="single"/>
        </w:rPr>
        <w:t>sub</w:t>
      </w:r>
      <w:r>
        <w:t>-theme for each theme may be assessed as “orange” without the theme itself being immediately assessed as “orange”.</w:t>
      </w:r>
    </w:p>
    <w:p w14:paraId="1979A2F9" w14:textId="47813324" w:rsidR="008302E4" w:rsidRDefault="001156E0" w:rsidP="00361AF8">
      <w:pPr>
        <w:pStyle w:val="Lijstalinea"/>
        <w:spacing w:after="0"/>
        <w:ind w:left="1080"/>
      </w:pPr>
      <w:r>
        <w:t xml:space="preserve">In the area of behaviour, a “red” score on a </w:t>
      </w:r>
      <w:r>
        <w:rPr>
          <w:u w:val="single"/>
        </w:rPr>
        <w:t>sub</w:t>
      </w:r>
      <w:r>
        <w:t>-theme automatically leads to a “red” rating for the theme, which immediately demonstrates that the requirement (all themes must be rated “green”) is not met.</w:t>
      </w:r>
    </w:p>
    <w:p w14:paraId="7F64E3BE" w14:textId="4202D8D8" w:rsidR="004E435A" w:rsidRDefault="004E435A" w:rsidP="004E435A">
      <w:pPr>
        <w:pStyle w:val="Lijstalinea"/>
        <w:spacing w:after="0"/>
        <w:ind w:left="1080" w:hanging="371"/>
      </w:pPr>
      <w:r>
        <w:t>o</w:t>
      </w:r>
      <w:r>
        <w:tab/>
        <w:t>In the area of behaviour, an “orange” score on a 2nd sub-theme leads to an “orange” score on the relevant theme, which immediately demonstrates that the requirement has not been met.</w:t>
      </w:r>
    </w:p>
    <w:p w14:paraId="79A6A63C" w14:textId="7587DA03" w:rsidR="00CC7955" w:rsidRPr="00216FB0" w:rsidRDefault="00CC7955" w:rsidP="00CC7955">
      <w:pPr>
        <w:pStyle w:val="Lijstalinea"/>
        <w:spacing w:after="0"/>
        <w:ind w:left="1066" w:hanging="357"/>
      </w:pPr>
      <w:r>
        <w:lastRenderedPageBreak/>
        <w:t>o</w:t>
      </w:r>
      <w:r>
        <w:tab/>
        <w:t xml:space="preserve">For SCL Light and SCL Light for small organisations, organisations must indicate annually what they want to have in place in their organisation as effective behaviour for the following year. </w:t>
      </w:r>
    </w:p>
    <w:p w14:paraId="24838BCF" w14:textId="094440D7" w:rsidR="00CC7955" w:rsidRPr="00216FB0" w:rsidRDefault="00CC7955" w:rsidP="00CC7955">
      <w:pPr>
        <w:pStyle w:val="Lijstalinea"/>
        <w:spacing w:after="0"/>
        <w:ind w:left="1080"/>
      </w:pPr>
      <w:r>
        <w:t>If an organisation scores orange on a sub-theme for SCL Light and SCL Light for small organisations, the organisation must set a target for a behavioural change to be achieved on this sub-theme. The behavioural change must be assessed during the follow-up audit.</w:t>
      </w:r>
    </w:p>
    <w:p w14:paraId="44EBA7B8" w14:textId="77777777" w:rsidR="00935FE3" w:rsidRDefault="00935FE3" w:rsidP="000C371A">
      <w:pPr>
        <w:spacing w:after="0"/>
      </w:pPr>
    </w:p>
    <w:p w14:paraId="339DF221" w14:textId="77777777" w:rsidR="00935FE3" w:rsidRDefault="00935FE3" w:rsidP="000C371A">
      <w:pPr>
        <w:spacing w:after="0"/>
      </w:pPr>
    </w:p>
    <w:p w14:paraId="4538DA46" w14:textId="77777777" w:rsidR="00935FE3" w:rsidRDefault="00935FE3" w:rsidP="000C371A">
      <w:pPr>
        <w:spacing w:after="0"/>
      </w:pPr>
    </w:p>
    <w:p w14:paraId="62DA24AF" w14:textId="77777777" w:rsidR="00935FE3" w:rsidRDefault="00935FE3" w:rsidP="000C371A">
      <w:pPr>
        <w:spacing w:after="0"/>
      </w:pPr>
    </w:p>
    <w:p w14:paraId="4DACC024" w14:textId="746579CC" w:rsidR="00BA1167" w:rsidRDefault="00BA1167"/>
    <w:sectPr w:rsidR="00BA11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B9EC6" w14:textId="77777777" w:rsidR="00357D72" w:rsidRDefault="00357D72" w:rsidP="00631320">
      <w:pPr>
        <w:spacing w:after="0" w:line="240" w:lineRule="auto"/>
      </w:pPr>
      <w:r>
        <w:separator/>
      </w:r>
    </w:p>
  </w:endnote>
  <w:endnote w:type="continuationSeparator" w:id="0">
    <w:p w14:paraId="44CAEF41" w14:textId="77777777" w:rsidR="00357D72" w:rsidRDefault="00357D72" w:rsidP="00631320">
      <w:pPr>
        <w:spacing w:after="0" w:line="240" w:lineRule="auto"/>
      </w:pPr>
      <w:r>
        <w:continuationSeparator/>
      </w:r>
    </w:p>
  </w:endnote>
  <w:endnote w:type="continuationNotice" w:id="1">
    <w:p w14:paraId="7499A965" w14:textId="77777777" w:rsidR="00357D72" w:rsidRDefault="00357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FBD7" w14:textId="77777777" w:rsidR="00357D72" w:rsidRDefault="00357D72" w:rsidP="00631320">
      <w:pPr>
        <w:spacing w:after="0" w:line="240" w:lineRule="auto"/>
      </w:pPr>
      <w:r>
        <w:separator/>
      </w:r>
    </w:p>
  </w:footnote>
  <w:footnote w:type="continuationSeparator" w:id="0">
    <w:p w14:paraId="402E6309" w14:textId="77777777" w:rsidR="00357D72" w:rsidRDefault="00357D72" w:rsidP="00631320">
      <w:pPr>
        <w:spacing w:after="0" w:line="240" w:lineRule="auto"/>
      </w:pPr>
      <w:r>
        <w:continuationSeparator/>
      </w:r>
    </w:p>
  </w:footnote>
  <w:footnote w:type="continuationNotice" w:id="1">
    <w:p w14:paraId="0C39FB3E" w14:textId="77777777" w:rsidR="00357D72" w:rsidRDefault="00357D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38647" w14:textId="5C8ADA84" w:rsidR="00631320" w:rsidRDefault="00631320" w:rsidP="00631320">
    <w:pPr>
      <w:pStyle w:val="Koptekst"/>
      <w:jc w:val="right"/>
    </w:pPr>
    <w:r>
      <w:rPr>
        <w:noProof/>
      </w:rPr>
      <w:drawing>
        <wp:inline distT="0" distB="0" distL="0" distR="0" wp14:anchorId="55EDE028" wp14:editId="21BD2F15">
          <wp:extent cx="2971800" cy="298450"/>
          <wp:effectExtent l="0" t="0" r="0" b="6350"/>
          <wp:docPr id="109689580" name="Afbeelding 1" descr="Afbeelding met schermopname, Graphics, Lettertyp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89580" name="Afbeelding 1" descr="Afbeelding met schermopname, Graphics, Lettertype, ontwerp&#10;&#10;Automatisch gegenereerde beschrijving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D6F"/>
    <w:multiLevelType w:val="hybridMultilevel"/>
    <w:tmpl w:val="F7CC09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AB8"/>
    <w:multiLevelType w:val="hybridMultilevel"/>
    <w:tmpl w:val="6C8E0A9E"/>
    <w:lvl w:ilvl="0" w:tplc="63A87B5E">
      <w:numFmt w:val="bullet"/>
      <w:lvlText w:val="-"/>
      <w:lvlJc w:val="left"/>
      <w:pPr>
        <w:ind w:left="786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68932B6"/>
    <w:multiLevelType w:val="hybridMultilevel"/>
    <w:tmpl w:val="42C619C2"/>
    <w:lvl w:ilvl="0" w:tplc="1758F8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99222E"/>
    <w:multiLevelType w:val="hybridMultilevel"/>
    <w:tmpl w:val="F7CC09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C2FDB"/>
    <w:multiLevelType w:val="hybridMultilevel"/>
    <w:tmpl w:val="785E39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571957"/>
    <w:multiLevelType w:val="hybridMultilevel"/>
    <w:tmpl w:val="BE72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40AA5"/>
    <w:multiLevelType w:val="hybridMultilevel"/>
    <w:tmpl w:val="35FC83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EB1D33"/>
    <w:multiLevelType w:val="hybridMultilevel"/>
    <w:tmpl w:val="D326EC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3D756E"/>
    <w:multiLevelType w:val="hybridMultilevel"/>
    <w:tmpl w:val="B900B9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CB2AFC"/>
    <w:multiLevelType w:val="hybridMultilevel"/>
    <w:tmpl w:val="792032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1B4606"/>
    <w:multiLevelType w:val="hybridMultilevel"/>
    <w:tmpl w:val="5326316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C03FF"/>
    <w:multiLevelType w:val="hybridMultilevel"/>
    <w:tmpl w:val="5B1233A0"/>
    <w:lvl w:ilvl="0" w:tplc="1D0234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82189500">
    <w:abstractNumId w:val="7"/>
  </w:num>
  <w:num w:numId="2" w16cid:durableId="104277141">
    <w:abstractNumId w:val="5"/>
  </w:num>
  <w:num w:numId="3" w16cid:durableId="2037346317">
    <w:abstractNumId w:val="10"/>
  </w:num>
  <w:num w:numId="4" w16cid:durableId="1206602690">
    <w:abstractNumId w:val="2"/>
  </w:num>
  <w:num w:numId="5" w16cid:durableId="853419595">
    <w:abstractNumId w:val="1"/>
  </w:num>
  <w:num w:numId="6" w16cid:durableId="90786768">
    <w:abstractNumId w:val="4"/>
  </w:num>
  <w:num w:numId="7" w16cid:durableId="839737575">
    <w:abstractNumId w:val="8"/>
  </w:num>
  <w:num w:numId="8" w16cid:durableId="1790929813">
    <w:abstractNumId w:val="0"/>
  </w:num>
  <w:num w:numId="9" w16cid:durableId="2145347354">
    <w:abstractNumId w:val="11"/>
  </w:num>
  <w:num w:numId="10" w16cid:durableId="1896039743">
    <w:abstractNumId w:val="3"/>
  </w:num>
  <w:num w:numId="11" w16cid:durableId="83693449">
    <w:abstractNumId w:val="6"/>
  </w:num>
  <w:num w:numId="12" w16cid:durableId="7414161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C10"/>
    <w:rsid w:val="00000E1F"/>
    <w:rsid w:val="0000187D"/>
    <w:rsid w:val="00007C07"/>
    <w:rsid w:val="00013CDB"/>
    <w:rsid w:val="00015655"/>
    <w:rsid w:val="00015D4E"/>
    <w:rsid w:val="00017B43"/>
    <w:rsid w:val="00020E1A"/>
    <w:rsid w:val="000218F0"/>
    <w:rsid w:val="000320B2"/>
    <w:rsid w:val="00035827"/>
    <w:rsid w:val="00041A42"/>
    <w:rsid w:val="00044902"/>
    <w:rsid w:val="00047B46"/>
    <w:rsid w:val="000503D2"/>
    <w:rsid w:val="000545F1"/>
    <w:rsid w:val="000560FB"/>
    <w:rsid w:val="00061310"/>
    <w:rsid w:val="000B132E"/>
    <w:rsid w:val="000B2073"/>
    <w:rsid w:val="000B2AF7"/>
    <w:rsid w:val="000B4B63"/>
    <w:rsid w:val="000C371A"/>
    <w:rsid w:val="000C6DDF"/>
    <w:rsid w:val="000C73EA"/>
    <w:rsid w:val="000D75BF"/>
    <w:rsid w:val="000F61F1"/>
    <w:rsid w:val="0010744E"/>
    <w:rsid w:val="001156E0"/>
    <w:rsid w:val="00117938"/>
    <w:rsid w:val="00117EF6"/>
    <w:rsid w:val="00121CF4"/>
    <w:rsid w:val="00124E94"/>
    <w:rsid w:val="00133C84"/>
    <w:rsid w:val="001358B8"/>
    <w:rsid w:val="0013641A"/>
    <w:rsid w:val="001365BE"/>
    <w:rsid w:val="001375DA"/>
    <w:rsid w:val="0014307E"/>
    <w:rsid w:val="00145091"/>
    <w:rsid w:val="00147C9B"/>
    <w:rsid w:val="001551BA"/>
    <w:rsid w:val="0016140C"/>
    <w:rsid w:val="001639EB"/>
    <w:rsid w:val="00174C9C"/>
    <w:rsid w:val="00175B5D"/>
    <w:rsid w:val="00183A08"/>
    <w:rsid w:val="0019376A"/>
    <w:rsid w:val="00194D09"/>
    <w:rsid w:val="001A39B8"/>
    <w:rsid w:val="001B0B8C"/>
    <w:rsid w:val="001B3836"/>
    <w:rsid w:val="001C5557"/>
    <w:rsid w:val="001C7FD3"/>
    <w:rsid w:val="001D6B7B"/>
    <w:rsid w:val="001D701D"/>
    <w:rsid w:val="001E10F1"/>
    <w:rsid w:val="001E52DF"/>
    <w:rsid w:val="002007E8"/>
    <w:rsid w:val="00210D80"/>
    <w:rsid w:val="00213F52"/>
    <w:rsid w:val="00216FB0"/>
    <w:rsid w:val="00221F15"/>
    <w:rsid w:val="00230B10"/>
    <w:rsid w:val="002333F9"/>
    <w:rsid w:val="00242995"/>
    <w:rsid w:val="002469AD"/>
    <w:rsid w:val="00247324"/>
    <w:rsid w:val="00251DCC"/>
    <w:rsid w:val="0026568A"/>
    <w:rsid w:val="002715C6"/>
    <w:rsid w:val="002747F2"/>
    <w:rsid w:val="0027583E"/>
    <w:rsid w:val="00281DB5"/>
    <w:rsid w:val="00297169"/>
    <w:rsid w:val="002A5033"/>
    <w:rsid w:val="002B1DF1"/>
    <w:rsid w:val="002B2523"/>
    <w:rsid w:val="002B4145"/>
    <w:rsid w:val="002B50D3"/>
    <w:rsid w:val="002D1AA3"/>
    <w:rsid w:val="002D2FFF"/>
    <w:rsid w:val="002D4399"/>
    <w:rsid w:val="002D591F"/>
    <w:rsid w:val="002D67A9"/>
    <w:rsid w:val="002E65CF"/>
    <w:rsid w:val="002E67AC"/>
    <w:rsid w:val="002F79B3"/>
    <w:rsid w:val="0030016C"/>
    <w:rsid w:val="00301D93"/>
    <w:rsid w:val="003130DA"/>
    <w:rsid w:val="00314EC2"/>
    <w:rsid w:val="00315998"/>
    <w:rsid w:val="00316648"/>
    <w:rsid w:val="00317516"/>
    <w:rsid w:val="00320E94"/>
    <w:rsid w:val="00332E2B"/>
    <w:rsid w:val="0034176D"/>
    <w:rsid w:val="00344D9F"/>
    <w:rsid w:val="00346F09"/>
    <w:rsid w:val="003478C3"/>
    <w:rsid w:val="00350762"/>
    <w:rsid w:val="00355461"/>
    <w:rsid w:val="00357338"/>
    <w:rsid w:val="00357D72"/>
    <w:rsid w:val="00360B17"/>
    <w:rsid w:val="00361AF8"/>
    <w:rsid w:val="003678D8"/>
    <w:rsid w:val="003871A7"/>
    <w:rsid w:val="00395069"/>
    <w:rsid w:val="003A19BF"/>
    <w:rsid w:val="003A20F3"/>
    <w:rsid w:val="003A2ECC"/>
    <w:rsid w:val="003B5DFC"/>
    <w:rsid w:val="003C43F6"/>
    <w:rsid w:val="003D3E08"/>
    <w:rsid w:val="003E3246"/>
    <w:rsid w:val="003E79FC"/>
    <w:rsid w:val="003F7375"/>
    <w:rsid w:val="0040197C"/>
    <w:rsid w:val="00401CA2"/>
    <w:rsid w:val="00405BBE"/>
    <w:rsid w:val="00407A28"/>
    <w:rsid w:val="0041412B"/>
    <w:rsid w:val="0041738F"/>
    <w:rsid w:val="0043312F"/>
    <w:rsid w:val="004530B7"/>
    <w:rsid w:val="00466E3F"/>
    <w:rsid w:val="004902D0"/>
    <w:rsid w:val="00491C7F"/>
    <w:rsid w:val="004A19B6"/>
    <w:rsid w:val="004A3564"/>
    <w:rsid w:val="004A6B38"/>
    <w:rsid w:val="004B2893"/>
    <w:rsid w:val="004B52F4"/>
    <w:rsid w:val="004D1758"/>
    <w:rsid w:val="004E435A"/>
    <w:rsid w:val="004E7A52"/>
    <w:rsid w:val="004F0485"/>
    <w:rsid w:val="004F5191"/>
    <w:rsid w:val="004F5D5E"/>
    <w:rsid w:val="004F6AF1"/>
    <w:rsid w:val="00502AA1"/>
    <w:rsid w:val="005052E9"/>
    <w:rsid w:val="00507F4D"/>
    <w:rsid w:val="00513BAB"/>
    <w:rsid w:val="0052054E"/>
    <w:rsid w:val="00523006"/>
    <w:rsid w:val="00523D9B"/>
    <w:rsid w:val="00525EF5"/>
    <w:rsid w:val="005303C3"/>
    <w:rsid w:val="00532FE7"/>
    <w:rsid w:val="005337D6"/>
    <w:rsid w:val="00536187"/>
    <w:rsid w:val="00563101"/>
    <w:rsid w:val="00566857"/>
    <w:rsid w:val="00567508"/>
    <w:rsid w:val="005738C7"/>
    <w:rsid w:val="00575CDD"/>
    <w:rsid w:val="00576960"/>
    <w:rsid w:val="00577C9B"/>
    <w:rsid w:val="00594A2C"/>
    <w:rsid w:val="005A74F9"/>
    <w:rsid w:val="005B0F5D"/>
    <w:rsid w:val="005B3684"/>
    <w:rsid w:val="005B4D69"/>
    <w:rsid w:val="005C2119"/>
    <w:rsid w:val="005C2562"/>
    <w:rsid w:val="005C490B"/>
    <w:rsid w:val="005D428D"/>
    <w:rsid w:val="005D7C7D"/>
    <w:rsid w:val="005D7D7F"/>
    <w:rsid w:val="005E0D9A"/>
    <w:rsid w:val="005E410B"/>
    <w:rsid w:val="005E5DDE"/>
    <w:rsid w:val="005E7289"/>
    <w:rsid w:val="005F2BAF"/>
    <w:rsid w:val="005F63BA"/>
    <w:rsid w:val="005F7362"/>
    <w:rsid w:val="00605461"/>
    <w:rsid w:val="00610AB0"/>
    <w:rsid w:val="00611D15"/>
    <w:rsid w:val="00612FB8"/>
    <w:rsid w:val="00623F54"/>
    <w:rsid w:val="00624AA8"/>
    <w:rsid w:val="00624EE4"/>
    <w:rsid w:val="00631320"/>
    <w:rsid w:val="006335F1"/>
    <w:rsid w:val="006375EB"/>
    <w:rsid w:val="00640614"/>
    <w:rsid w:val="0065785F"/>
    <w:rsid w:val="006635C5"/>
    <w:rsid w:val="00666DBF"/>
    <w:rsid w:val="00690C43"/>
    <w:rsid w:val="00694CF7"/>
    <w:rsid w:val="0069574A"/>
    <w:rsid w:val="00695F1D"/>
    <w:rsid w:val="006B156E"/>
    <w:rsid w:val="006D40BA"/>
    <w:rsid w:val="006D560D"/>
    <w:rsid w:val="006D63AF"/>
    <w:rsid w:val="006E0C6E"/>
    <w:rsid w:val="006E77A4"/>
    <w:rsid w:val="006F5D74"/>
    <w:rsid w:val="00701132"/>
    <w:rsid w:val="00716F56"/>
    <w:rsid w:val="007171C9"/>
    <w:rsid w:val="00726712"/>
    <w:rsid w:val="00727A19"/>
    <w:rsid w:val="0074606D"/>
    <w:rsid w:val="007470EE"/>
    <w:rsid w:val="00747DC3"/>
    <w:rsid w:val="00757A7C"/>
    <w:rsid w:val="007643FD"/>
    <w:rsid w:val="00781BC2"/>
    <w:rsid w:val="00792F75"/>
    <w:rsid w:val="007A6C06"/>
    <w:rsid w:val="007A757A"/>
    <w:rsid w:val="007B00BA"/>
    <w:rsid w:val="007B60E8"/>
    <w:rsid w:val="007B68C4"/>
    <w:rsid w:val="007C3DD9"/>
    <w:rsid w:val="007C40E0"/>
    <w:rsid w:val="007C4C10"/>
    <w:rsid w:val="007C5039"/>
    <w:rsid w:val="007D7D7E"/>
    <w:rsid w:val="007E41FB"/>
    <w:rsid w:val="007E5FA5"/>
    <w:rsid w:val="007F30E9"/>
    <w:rsid w:val="007F5F1E"/>
    <w:rsid w:val="007F72F7"/>
    <w:rsid w:val="00806B3C"/>
    <w:rsid w:val="00814144"/>
    <w:rsid w:val="00817417"/>
    <w:rsid w:val="008270E2"/>
    <w:rsid w:val="00827ACC"/>
    <w:rsid w:val="00827E1B"/>
    <w:rsid w:val="008302E4"/>
    <w:rsid w:val="0083037A"/>
    <w:rsid w:val="00847DA2"/>
    <w:rsid w:val="00850F10"/>
    <w:rsid w:val="00854D48"/>
    <w:rsid w:val="00854EC6"/>
    <w:rsid w:val="00855019"/>
    <w:rsid w:val="00855D5E"/>
    <w:rsid w:val="00855E99"/>
    <w:rsid w:val="00861D95"/>
    <w:rsid w:val="0087633F"/>
    <w:rsid w:val="008775A6"/>
    <w:rsid w:val="00883105"/>
    <w:rsid w:val="00883A86"/>
    <w:rsid w:val="008903B3"/>
    <w:rsid w:val="00896D09"/>
    <w:rsid w:val="008A0D6B"/>
    <w:rsid w:val="008A3CB9"/>
    <w:rsid w:val="008A4DB0"/>
    <w:rsid w:val="008C0C4D"/>
    <w:rsid w:val="008C15AA"/>
    <w:rsid w:val="008C55A4"/>
    <w:rsid w:val="008C7DCB"/>
    <w:rsid w:val="008D4942"/>
    <w:rsid w:val="008E075A"/>
    <w:rsid w:val="008F3C7B"/>
    <w:rsid w:val="008F5F27"/>
    <w:rsid w:val="008F603D"/>
    <w:rsid w:val="008F7D6D"/>
    <w:rsid w:val="00924647"/>
    <w:rsid w:val="00924DC0"/>
    <w:rsid w:val="00935FE3"/>
    <w:rsid w:val="009369DE"/>
    <w:rsid w:val="00937B44"/>
    <w:rsid w:val="009408AE"/>
    <w:rsid w:val="00950E24"/>
    <w:rsid w:val="009558F7"/>
    <w:rsid w:val="00955BB2"/>
    <w:rsid w:val="009649DB"/>
    <w:rsid w:val="00965F09"/>
    <w:rsid w:val="009730F3"/>
    <w:rsid w:val="00973B6F"/>
    <w:rsid w:val="009760EB"/>
    <w:rsid w:val="009960A1"/>
    <w:rsid w:val="009A1A65"/>
    <w:rsid w:val="009B5123"/>
    <w:rsid w:val="009E2D5A"/>
    <w:rsid w:val="009E30A3"/>
    <w:rsid w:val="009E36C5"/>
    <w:rsid w:val="009E7713"/>
    <w:rsid w:val="009F5B66"/>
    <w:rsid w:val="009F7EC5"/>
    <w:rsid w:val="00A058DB"/>
    <w:rsid w:val="00A14F65"/>
    <w:rsid w:val="00A21359"/>
    <w:rsid w:val="00A238E8"/>
    <w:rsid w:val="00A24C09"/>
    <w:rsid w:val="00A25961"/>
    <w:rsid w:val="00A26E31"/>
    <w:rsid w:val="00A3064F"/>
    <w:rsid w:val="00A41D3A"/>
    <w:rsid w:val="00A45BF6"/>
    <w:rsid w:val="00A56AAB"/>
    <w:rsid w:val="00A6750F"/>
    <w:rsid w:val="00A70EB4"/>
    <w:rsid w:val="00A751FB"/>
    <w:rsid w:val="00A931C9"/>
    <w:rsid w:val="00A937A2"/>
    <w:rsid w:val="00A94185"/>
    <w:rsid w:val="00A94931"/>
    <w:rsid w:val="00AB4524"/>
    <w:rsid w:val="00AD3BCB"/>
    <w:rsid w:val="00AE46EE"/>
    <w:rsid w:val="00AE64B5"/>
    <w:rsid w:val="00AF0E7D"/>
    <w:rsid w:val="00AF47E1"/>
    <w:rsid w:val="00B01CC4"/>
    <w:rsid w:val="00B02669"/>
    <w:rsid w:val="00B12340"/>
    <w:rsid w:val="00B15B88"/>
    <w:rsid w:val="00B177DF"/>
    <w:rsid w:val="00B23120"/>
    <w:rsid w:val="00B412A4"/>
    <w:rsid w:val="00B430A3"/>
    <w:rsid w:val="00B60FF6"/>
    <w:rsid w:val="00B66BF0"/>
    <w:rsid w:val="00B724F0"/>
    <w:rsid w:val="00B811AE"/>
    <w:rsid w:val="00B84B62"/>
    <w:rsid w:val="00B860CA"/>
    <w:rsid w:val="00B96C8B"/>
    <w:rsid w:val="00BA1167"/>
    <w:rsid w:val="00BA22EE"/>
    <w:rsid w:val="00BA33B9"/>
    <w:rsid w:val="00BC3C54"/>
    <w:rsid w:val="00BC47B4"/>
    <w:rsid w:val="00BC7408"/>
    <w:rsid w:val="00BC7876"/>
    <w:rsid w:val="00BD2C1F"/>
    <w:rsid w:val="00BD65ED"/>
    <w:rsid w:val="00BE02F3"/>
    <w:rsid w:val="00BE4D4A"/>
    <w:rsid w:val="00BF6F01"/>
    <w:rsid w:val="00C24B74"/>
    <w:rsid w:val="00C45161"/>
    <w:rsid w:val="00C573CF"/>
    <w:rsid w:val="00C643FC"/>
    <w:rsid w:val="00C66B1C"/>
    <w:rsid w:val="00C756B9"/>
    <w:rsid w:val="00C76C3C"/>
    <w:rsid w:val="00CB2B87"/>
    <w:rsid w:val="00CB653F"/>
    <w:rsid w:val="00CB716A"/>
    <w:rsid w:val="00CC7955"/>
    <w:rsid w:val="00CD512C"/>
    <w:rsid w:val="00CD5727"/>
    <w:rsid w:val="00CD6958"/>
    <w:rsid w:val="00CD73B1"/>
    <w:rsid w:val="00CE101F"/>
    <w:rsid w:val="00CE6FB0"/>
    <w:rsid w:val="00CF112E"/>
    <w:rsid w:val="00CF11CB"/>
    <w:rsid w:val="00D1021A"/>
    <w:rsid w:val="00D1348F"/>
    <w:rsid w:val="00D15A26"/>
    <w:rsid w:val="00D167C5"/>
    <w:rsid w:val="00D20D8C"/>
    <w:rsid w:val="00D23EE1"/>
    <w:rsid w:val="00D244C4"/>
    <w:rsid w:val="00D31000"/>
    <w:rsid w:val="00D43757"/>
    <w:rsid w:val="00D55DF6"/>
    <w:rsid w:val="00D6741D"/>
    <w:rsid w:val="00D67EFA"/>
    <w:rsid w:val="00D74386"/>
    <w:rsid w:val="00D7502A"/>
    <w:rsid w:val="00D82C5C"/>
    <w:rsid w:val="00D8444C"/>
    <w:rsid w:val="00D85C23"/>
    <w:rsid w:val="00D913B1"/>
    <w:rsid w:val="00D92ABB"/>
    <w:rsid w:val="00D93B9E"/>
    <w:rsid w:val="00D94C5D"/>
    <w:rsid w:val="00D955E3"/>
    <w:rsid w:val="00D95D5F"/>
    <w:rsid w:val="00DA1B34"/>
    <w:rsid w:val="00DA7A8D"/>
    <w:rsid w:val="00DB0EBB"/>
    <w:rsid w:val="00DB18DD"/>
    <w:rsid w:val="00DB2487"/>
    <w:rsid w:val="00DC1711"/>
    <w:rsid w:val="00DC66BA"/>
    <w:rsid w:val="00DD71B3"/>
    <w:rsid w:val="00DD75D9"/>
    <w:rsid w:val="00DE3DC6"/>
    <w:rsid w:val="00DF4891"/>
    <w:rsid w:val="00DF6BCD"/>
    <w:rsid w:val="00E022E6"/>
    <w:rsid w:val="00E03D35"/>
    <w:rsid w:val="00E06117"/>
    <w:rsid w:val="00E30964"/>
    <w:rsid w:val="00E30FFD"/>
    <w:rsid w:val="00E324A0"/>
    <w:rsid w:val="00E47297"/>
    <w:rsid w:val="00E47959"/>
    <w:rsid w:val="00E518D8"/>
    <w:rsid w:val="00E52746"/>
    <w:rsid w:val="00E6367A"/>
    <w:rsid w:val="00E6511C"/>
    <w:rsid w:val="00E717BC"/>
    <w:rsid w:val="00E72303"/>
    <w:rsid w:val="00E85813"/>
    <w:rsid w:val="00E87EF0"/>
    <w:rsid w:val="00E91BE6"/>
    <w:rsid w:val="00E96FDB"/>
    <w:rsid w:val="00EB0B3D"/>
    <w:rsid w:val="00EB7682"/>
    <w:rsid w:val="00EC068D"/>
    <w:rsid w:val="00EC171A"/>
    <w:rsid w:val="00EE7625"/>
    <w:rsid w:val="00EF0B20"/>
    <w:rsid w:val="00EF2683"/>
    <w:rsid w:val="00EF5434"/>
    <w:rsid w:val="00F011A0"/>
    <w:rsid w:val="00F01E09"/>
    <w:rsid w:val="00F10C72"/>
    <w:rsid w:val="00F1108A"/>
    <w:rsid w:val="00F12868"/>
    <w:rsid w:val="00F21866"/>
    <w:rsid w:val="00F4202A"/>
    <w:rsid w:val="00F43CBC"/>
    <w:rsid w:val="00F4485D"/>
    <w:rsid w:val="00F45EBB"/>
    <w:rsid w:val="00F463B8"/>
    <w:rsid w:val="00F46704"/>
    <w:rsid w:val="00F519B5"/>
    <w:rsid w:val="00F57152"/>
    <w:rsid w:val="00F6332B"/>
    <w:rsid w:val="00F66F9B"/>
    <w:rsid w:val="00F72507"/>
    <w:rsid w:val="00F767DD"/>
    <w:rsid w:val="00F81088"/>
    <w:rsid w:val="00F823EB"/>
    <w:rsid w:val="00F870D3"/>
    <w:rsid w:val="00F905E9"/>
    <w:rsid w:val="00F91996"/>
    <w:rsid w:val="00F91A9D"/>
    <w:rsid w:val="00F9492E"/>
    <w:rsid w:val="00F95F32"/>
    <w:rsid w:val="00F994C6"/>
    <w:rsid w:val="00FA196F"/>
    <w:rsid w:val="00FA3EC0"/>
    <w:rsid w:val="00FA7A56"/>
    <w:rsid w:val="00FB1295"/>
    <w:rsid w:val="00FB50CD"/>
    <w:rsid w:val="00FB6BB8"/>
    <w:rsid w:val="00FC59E6"/>
    <w:rsid w:val="00FD0073"/>
    <w:rsid w:val="00FD64DA"/>
    <w:rsid w:val="00FE216B"/>
    <w:rsid w:val="00FE7569"/>
    <w:rsid w:val="06461220"/>
    <w:rsid w:val="07092631"/>
    <w:rsid w:val="0DF890F9"/>
    <w:rsid w:val="146A44B1"/>
    <w:rsid w:val="17CA18D6"/>
    <w:rsid w:val="1AF4CFFF"/>
    <w:rsid w:val="1EF8EFD4"/>
    <w:rsid w:val="203F0A97"/>
    <w:rsid w:val="20AE2C54"/>
    <w:rsid w:val="224892F6"/>
    <w:rsid w:val="2290AE7E"/>
    <w:rsid w:val="26B91D8D"/>
    <w:rsid w:val="2810D85B"/>
    <w:rsid w:val="2D5E22FA"/>
    <w:rsid w:val="3A1B1123"/>
    <w:rsid w:val="3BD17AB1"/>
    <w:rsid w:val="3C633BC3"/>
    <w:rsid w:val="42B3128E"/>
    <w:rsid w:val="4488A428"/>
    <w:rsid w:val="463D61A1"/>
    <w:rsid w:val="4B6795A4"/>
    <w:rsid w:val="4E481323"/>
    <w:rsid w:val="528E7BF3"/>
    <w:rsid w:val="58666227"/>
    <w:rsid w:val="5C00605D"/>
    <w:rsid w:val="5C884EF9"/>
    <w:rsid w:val="5DDB701D"/>
    <w:rsid w:val="69F2306E"/>
    <w:rsid w:val="6B9E6BF9"/>
    <w:rsid w:val="7446465C"/>
    <w:rsid w:val="772C89B3"/>
    <w:rsid w:val="7C68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BAE96"/>
  <w15:chartTrackingRefBased/>
  <w15:docId w15:val="{4DB4316C-DC7C-4BB9-8D1E-62594DC60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C4C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C4C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C4C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C4C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C4C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C4C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C4C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C4C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C4C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C4C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C4C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C4C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C4C1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C4C1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C4C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C4C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C4C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C4C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C4C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C4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C4C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C4C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C4C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C4C10"/>
    <w:rPr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"/>
    <w:uiPriority w:val="34"/>
    <w:qFormat/>
    <w:rsid w:val="007C4C1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C4C1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C4C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4C1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C4C10"/>
    <w:rPr>
      <w:b/>
      <w:bCs/>
      <w:smallCaps/>
      <w:color w:val="0F4761" w:themeColor="accent1" w:themeShade="BF"/>
      <w:spacing w:val="5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0C371A"/>
  </w:style>
  <w:style w:type="paragraph" w:styleId="Revisie">
    <w:name w:val="Revision"/>
    <w:hidden/>
    <w:uiPriority w:val="99"/>
    <w:semiHidden/>
    <w:rsid w:val="00A94185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07F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07F4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07F4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7F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7F4D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63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31320"/>
  </w:style>
  <w:style w:type="paragraph" w:styleId="Voettekst">
    <w:name w:val="footer"/>
    <w:basedOn w:val="Standaard"/>
    <w:link w:val="VoettekstChar"/>
    <w:uiPriority w:val="99"/>
    <w:unhideWhenUsed/>
    <w:rsid w:val="0063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31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EEF.CC24DF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83786E03581C45827B29F1E77DA2F2" ma:contentTypeVersion="20" ma:contentTypeDescription="Een nieuw document maken." ma:contentTypeScope="" ma:versionID="5e53c86c7a34b26a8d8d2a0bb62d6aa3">
  <xsd:schema xmlns:xsd="http://www.w3.org/2001/XMLSchema" xmlns:xs="http://www.w3.org/2001/XMLSchema" xmlns:p="http://schemas.microsoft.com/office/2006/metadata/properties" xmlns:ns2="8c759bf6-42e2-4be2-8076-ca901ae762be" xmlns:ns3="0aa5b8dd-10c7-4ace-84a3-8edf5dd86461" targetNamespace="http://schemas.microsoft.com/office/2006/metadata/properties" ma:root="true" ma:fieldsID="dc1e73eedca530849505f3110bf4734a" ns2:_="" ns3:_="">
    <xsd:import namespace="8c759bf6-42e2-4be2-8076-ca901ae762be"/>
    <xsd:import namespace="0aa5b8dd-10c7-4ace-84a3-8edf5dd864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Projectleider" minOccurs="0"/>
                <xsd:element ref="ns2:Status" minOccurs="0"/>
                <xsd:element ref="ns2:Datumentij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59bf6-42e2-4be2-8076-ca901ae762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5d20fea-fdae-4f2f-ac66-dc9eff6945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jectleider" ma:index="22" nillable="true" ma:displayName="Projectleider" ma:list="UserInfo" ma:SharePointGroup="0" ma:internalName="Projectlei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n ontwikkeling" ma:format="Dropdown" ma:internalName="Status">
      <xsd:simpleType>
        <xsd:restriction base="dms:Choice">
          <xsd:enumeration value="n ontwikkeling"/>
          <xsd:enumeration value="Actief"/>
          <xsd:enumeration value="Geschorst"/>
          <xsd:enumeration value="Teruggetrokken"/>
        </xsd:restriction>
      </xsd:simpleType>
    </xsd:element>
    <xsd:element name="Datumentijd" ma:index="24" nillable="true" ma:displayName="Datumentijd" ma:format="DateOnly" ma:internalName="Datumentijd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b8dd-10c7-4ace-84a3-8edf5dd8646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70d6591-0ab7-4ad1-93a7-6d3bab08a52b}" ma:internalName="TaxCatchAll" ma:showField="CatchAllData" ma:web="0aa5b8dd-10c7-4ace-84a3-8edf5dd864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8c759bf6-42e2-4be2-8076-ca901ae762be">
      <UserInfo>
        <DisplayName/>
        <AccountId xsi:nil="true"/>
        <AccountType/>
      </UserInfo>
    </Projectleider>
    <Datumentijd xmlns="8c759bf6-42e2-4be2-8076-ca901ae762be" xsi:nil="true"/>
    <Status xmlns="8c759bf6-42e2-4be2-8076-ca901ae762be">n ontwikkeling</Status>
    <TaxCatchAll xmlns="0aa5b8dd-10c7-4ace-84a3-8edf5dd86461" xsi:nil="true"/>
    <lcf76f155ced4ddcb4097134ff3c332f xmlns="8c759bf6-42e2-4be2-8076-ca901ae762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BA5567-9BB9-4904-9D2E-B751818BB914}"/>
</file>

<file path=customXml/itemProps2.xml><?xml version="1.0" encoding="utf-8"?>
<ds:datastoreItem xmlns:ds="http://schemas.openxmlformats.org/officeDocument/2006/customXml" ds:itemID="{FF7E9370-48AF-4A6D-9608-5637E421515A}"/>
</file>

<file path=customXml/itemProps3.xml><?xml version="1.0" encoding="utf-8"?>
<ds:datastoreItem xmlns:ds="http://schemas.openxmlformats.org/officeDocument/2006/customXml" ds:itemID="{F3EC6D99-8A98-4149-B1D7-E258EB8B5D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van der Aa</dc:creator>
  <cp:keywords/>
  <dc:description/>
  <cp:lastModifiedBy>Michèl Geraets</cp:lastModifiedBy>
  <cp:revision>3</cp:revision>
  <dcterms:created xsi:type="dcterms:W3CDTF">2026-02-13T09:02:00Z</dcterms:created>
  <dcterms:modified xsi:type="dcterms:W3CDTF">2026-02-20T15:33:00Z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0x0101000E83786E03581C45827B29F1E77DA2F2</vt:lpwstr>
  </property>
  <property fmtid="{D5CDD505-2E9C-101B-9397-08002B2CF9AE}" pid="3" name="MediaServiceImageTags">
    <vt:lpwstr/>
  </property>
</Properties>
</file>